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77777777" w:rsidR="00232197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  <w:lang w:val="la-Latn"/>
              </w:rPr>
            </w:pPr>
            <w:r w:rsidRPr="00232197">
              <w:rPr>
                <w:rFonts w:ascii="Lucida Calligraphy" w:hAnsi="Lucida Calligraphy"/>
                <w:b/>
                <w:bCs/>
                <w:sz w:val="72"/>
                <w:szCs w:val="72"/>
                <w:lang w:val="la-Latn"/>
              </w:rPr>
              <w:t>Terra Baronum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>
              <w:rPr>
                <w:rFonts w:ascii="Lucida Calligraphy" w:hAnsi="Lucida Calligraphy"/>
                <w:b/>
                <w:bCs/>
              </w:rPr>
              <w:t>(Anciennement « </w:t>
            </w:r>
            <w:r w:rsidRPr="00232197">
              <w:rPr>
                <w:rFonts w:ascii="Lucida Calligraphy" w:hAnsi="Lucida Calligraphy"/>
                <w:b/>
                <w:bCs/>
              </w:rPr>
              <w:t>Donjons et Barons</w:t>
            </w:r>
            <w:r>
              <w:rPr>
                <w:rFonts w:ascii="Lucida Calligraphy" w:hAnsi="Lucida Calligraphy"/>
                <w:b/>
                <w:bCs/>
              </w:rPr>
              <w:t>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BF21562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Terra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Boronum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6811D2A8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 xml:space="preserve">Jeu </w:t>
      </w:r>
      <w:r w:rsidR="00232197">
        <w:t>famille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4BE2473A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>
        <w:t>16 à 2 joueurs ; 12 à 3 joueurs ; 10 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39326A5B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>montagnes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7AB3104C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 xml:space="preserve">elui avec le plus grand </w:t>
      </w:r>
      <w:r w:rsidR="007F37C9">
        <w:t>tirage</w:t>
      </w:r>
      <w:r>
        <w:t xml:space="preserve"> commence</w:t>
      </w:r>
      <w:r w:rsidR="007F37C9">
        <w:t>ra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7F37C9">
        <w:t>Les autres joueurs se rangent à la suite du premier joueur dans le sens horaire et d’après l’ordre des tirages du dé. D</w:t>
      </w:r>
      <w:r w:rsidR="00621BAE">
        <w:t xml:space="preserve">ans le sens anti-horaire, en </w:t>
      </w:r>
      <w:r w:rsidR="00621BAE" w:rsidRPr="00EA4132">
        <w:rPr>
          <w:color w:val="70AD47" w:themeColor="accent6"/>
        </w:rPr>
        <w:t xml:space="preserve">commençant </w:t>
      </w:r>
      <w:r w:rsidR="00621BAE">
        <w:t xml:space="preserve">par le </w:t>
      </w:r>
      <w:r w:rsidR="00621BAE" w:rsidRPr="00EA4132">
        <w:rPr>
          <w:color w:val="70AD47" w:themeColor="accent6"/>
        </w:rPr>
        <w:t>dernier joueur du tour</w:t>
      </w:r>
      <w:r w:rsidR="00F551C0" w:rsidRPr="00EA4132">
        <w:rPr>
          <w:color w:val="70AD47" w:themeColor="accent6"/>
        </w:rPr>
        <w:t xml:space="preserve"> de table</w:t>
      </w:r>
      <w:r w:rsidR="00621BAE">
        <w:t xml:space="preserve">, </w:t>
      </w:r>
      <w:r w:rsidR="00F551C0" w:rsidRPr="00EA4132">
        <w:rPr>
          <w:color w:val="70AD47" w:themeColor="accent6"/>
        </w:rPr>
        <w:t>chaque</w:t>
      </w:r>
      <w:r w:rsidR="00621BAE" w:rsidRPr="00EA4132">
        <w:rPr>
          <w:color w:val="70AD47" w:themeColor="accent6"/>
        </w:rPr>
        <w:t xml:space="preserve"> joueur choisi</w:t>
      </w:r>
      <w:r w:rsidR="00F551C0" w:rsidRPr="00EA4132">
        <w:rPr>
          <w:color w:val="70AD47" w:themeColor="accent6"/>
        </w:rPr>
        <w:t>t sa</w:t>
      </w:r>
      <w:r w:rsidR="00621BAE" w:rsidRPr="00EA4132">
        <w:rPr>
          <w:color w:val="70AD47" w:themeColor="accent6"/>
        </w:rPr>
        <w:t xml:space="preserve"> couleur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0310A44D" w:rsidR="007F37C9" w:rsidRPr="003D3489" w:rsidRDefault="007F37C9" w:rsidP="00F551C0">
      <w:pPr>
        <w:jc w:val="both"/>
        <w:rPr>
          <w:color w:val="70AD47" w:themeColor="accent6"/>
        </w:rPr>
      </w:pPr>
      <w:r w:rsidRPr="003D3489">
        <w:rPr>
          <w:color w:val="70AD47" w:themeColor="accent6"/>
        </w:rPr>
        <w:t xml:space="preserve">Les 4 cartes </w:t>
      </w:r>
      <w:r w:rsidR="009F02D8" w:rsidRPr="003D3489">
        <w:rPr>
          <w:color w:val="70AD47" w:themeColor="accent6"/>
        </w:rPr>
        <w:t>désignant</w:t>
      </w:r>
      <w:r w:rsidRPr="003D3489">
        <w:rPr>
          <w:color w:val="70AD47" w:themeColor="accent6"/>
        </w:rPr>
        <w:t xml:space="preserve"> les montag</w:t>
      </w:r>
      <w:r w:rsidR="00142E24" w:rsidRPr="003D3489">
        <w:rPr>
          <w:color w:val="70AD47" w:themeColor="accent6"/>
        </w:rPr>
        <w:t>n</w:t>
      </w:r>
      <w:r w:rsidRPr="003D3489">
        <w:rPr>
          <w:color w:val="70AD47" w:themeColor="accent6"/>
        </w:rPr>
        <w:t xml:space="preserve">es sont mises de côté. Toutes les autres sont rassemblées et mélangées. Chaque joueur reçoit, face cachée, </w:t>
      </w:r>
      <w:r w:rsidR="00A171E5" w:rsidRPr="003D3489">
        <w:rPr>
          <w:color w:val="70AD47" w:themeColor="accent6"/>
        </w:rPr>
        <w:t>1</w:t>
      </w:r>
      <w:r w:rsidRPr="003D3489">
        <w:rPr>
          <w:color w:val="70AD47" w:themeColor="accent6"/>
        </w:rPr>
        <w:t xml:space="preserve"> carte de position, dite « </w:t>
      </w:r>
      <w:r w:rsidRPr="003D3489">
        <w:rPr>
          <w:b/>
          <w:bCs/>
          <w:color w:val="70AD47" w:themeColor="accent6"/>
        </w:rPr>
        <w:t>carte personnelle</w:t>
      </w:r>
      <w:r w:rsidRPr="003D3489">
        <w:rPr>
          <w:color w:val="70AD47" w:themeColor="accent6"/>
        </w:rPr>
        <w:t> », qu’il peut consulter.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CE44FF">
        <w:rPr>
          <w:color w:val="0070C0"/>
        </w:rPr>
        <w:t xml:space="preserve">paramétrage </w:t>
      </w:r>
      <w:r>
        <w:t>pour les jauges de bonus</w:t>
      </w:r>
    </w:p>
    <w:p w14:paraId="16518323" w14:textId="388D98AE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cachée</w:t>
      </w:r>
      <w:r w:rsidRPr="00DB6758">
        <w:rPr>
          <w:color w:val="70AD47" w:themeColor="accent6"/>
        </w:rPr>
        <w:t xml:space="preserve">, </w:t>
      </w:r>
      <w:r w:rsidR="00DB6758">
        <w:rPr>
          <w:color w:val="70AD47" w:themeColor="accent6"/>
        </w:rPr>
        <w:t>p</w:t>
      </w:r>
      <w:r w:rsidRPr="00DB6758">
        <w:rPr>
          <w:color w:val="70AD47" w:themeColor="accent6"/>
        </w:rPr>
        <w:t xml:space="preserve">our forcer </w:t>
      </w:r>
      <w:r w:rsidR="002B70AB">
        <w:rPr>
          <w:color w:val="70AD47" w:themeColor="accent6"/>
        </w:rPr>
        <w:t>le</w:t>
      </w:r>
      <w:r w:rsidRPr="00DB6758">
        <w:rPr>
          <w:color w:val="70AD47" w:themeColor="accent6"/>
        </w:rPr>
        <w:t xml:space="preserve"> dé</w:t>
      </w:r>
      <w:r w:rsidR="002B70AB">
        <w:rPr>
          <w:color w:val="70AD47" w:themeColor="accent6"/>
        </w:rPr>
        <w:t xml:space="preserve"> à la valeur de votre choix</w:t>
      </w:r>
      <w:r w:rsidR="004E4B0E">
        <w:rPr>
          <w:color w:val="70AD47" w:themeColor="accent6"/>
        </w:rPr>
        <w:t xml:space="preserve">, </w:t>
      </w:r>
      <w:r w:rsidR="002B70AB">
        <w:rPr>
          <w:color w:val="70AD47" w:themeColor="accent6"/>
        </w:rPr>
        <w:t>avant la première action de votre tour</w:t>
      </w:r>
      <w:r w:rsidR="009F02D8">
        <w:rPr>
          <w:color w:val="70AD47" w:themeColor="accent6"/>
        </w:rPr>
        <w:t>.</w:t>
      </w:r>
      <w:r w:rsidR="002B70AB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Ensuite, cette carte est</w:t>
      </w:r>
      <w:r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Pr="00DB6758">
        <w:rPr>
          <w:color w:val="70AD47" w:themeColor="accent6"/>
        </w:rPr>
        <w:t xml:space="preserve"> face cachée. Cet effet, </w:t>
      </w:r>
      <w:r w:rsidR="00DB6758">
        <w:rPr>
          <w:color w:val="70AD47" w:themeColor="accent6"/>
        </w:rPr>
        <w:t xml:space="preserve">qui </w:t>
      </w:r>
      <w:r w:rsidRPr="00DB6758">
        <w:rPr>
          <w:color w:val="70AD47" w:themeColor="accent6"/>
        </w:rPr>
        <w:t>s’appelle « </w:t>
      </w:r>
      <w:r w:rsidRPr="00DB6758">
        <w:rPr>
          <w:b/>
          <w:bCs/>
          <w:color w:val="70AD47" w:themeColor="accent6"/>
        </w:rPr>
        <w:t xml:space="preserve">faire appel </w:t>
      </w:r>
      <w:r w:rsidR="004E4B0E">
        <w:rPr>
          <w:b/>
          <w:bCs/>
          <w:color w:val="70AD47" w:themeColor="accent6"/>
        </w:rPr>
        <w:t>a</w:t>
      </w:r>
      <w:r w:rsidRPr="00DB6758">
        <w:rPr>
          <w:b/>
          <w:bCs/>
          <w:color w:val="70AD47" w:themeColor="accent6"/>
        </w:rPr>
        <w:t>u Trésor</w:t>
      </w:r>
      <w:r w:rsidRPr="00DB6758">
        <w:rPr>
          <w:color w:val="70AD47" w:themeColor="accent6"/>
        </w:rPr>
        <w:t> »</w:t>
      </w:r>
      <w:r w:rsidR="00DB6758">
        <w:rPr>
          <w:color w:val="70AD47" w:themeColor="accent6"/>
        </w:rPr>
        <w:t xml:space="preserve">, ne compte </w:t>
      </w:r>
      <w:r w:rsidR="000744EC">
        <w:rPr>
          <w:color w:val="70AD47" w:themeColor="accent6"/>
        </w:rPr>
        <w:t xml:space="preserve">pas </w:t>
      </w:r>
      <w:r w:rsidR="00DB6758">
        <w:rPr>
          <w:color w:val="70AD47" w:themeColor="accent6"/>
        </w:rPr>
        <w:t>comme une action.</w:t>
      </w:r>
    </w:p>
    <w:p w14:paraId="485CC32B" w14:textId="28A8ABEF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visible</w:t>
      </w:r>
      <w:r w:rsidR="002B70AB">
        <w:rPr>
          <w:color w:val="70AD47" w:themeColor="accent6"/>
        </w:rPr>
        <w:t xml:space="preserve">, </w:t>
      </w:r>
      <w:r w:rsidR="0051324B">
        <w:rPr>
          <w:color w:val="70AD47" w:themeColor="accent6"/>
        </w:rPr>
        <w:t xml:space="preserve">pour déplacer </w:t>
      </w:r>
      <w:r w:rsidR="009F02D8">
        <w:rPr>
          <w:color w:val="70AD47" w:themeColor="accent6"/>
        </w:rPr>
        <w:t>un de vos officiers vers la tuile désignée par</w:t>
      </w:r>
      <w:r w:rsidR="002B70AB">
        <w:rPr>
          <w:color w:val="70AD47" w:themeColor="accent6"/>
        </w:rPr>
        <w:t xml:space="preserve"> le </w:t>
      </w:r>
      <w:r w:rsidR="00A45667" w:rsidRPr="00DB6758">
        <w:rPr>
          <w:color w:val="70AD47" w:themeColor="accent6"/>
        </w:rPr>
        <w:t>numéro</w:t>
      </w:r>
      <w:r w:rsidRPr="00DB6758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de cette carte. Ensuite, cette carte est</w:t>
      </w:r>
      <w:r w:rsidR="009F02D8"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="009F02D8" w:rsidRPr="00DB6758">
        <w:rPr>
          <w:color w:val="70AD47" w:themeColor="accent6"/>
        </w:rPr>
        <w:t xml:space="preserve"> face cachée</w:t>
      </w:r>
      <w:r w:rsidRPr="00DB6758">
        <w:rPr>
          <w:color w:val="70AD47" w:themeColor="accent6"/>
        </w:rPr>
        <w:t>. Si votre officier</w:t>
      </w:r>
      <w:r w:rsidR="00A45667" w:rsidRPr="00DB6758">
        <w:rPr>
          <w:color w:val="70AD47" w:themeColor="accent6"/>
        </w:rPr>
        <w:t xml:space="preserve"> déplacé</w:t>
      </w:r>
      <w:r w:rsidRPr="00DB6758">
        <w:rPr>
          <w:color w:val="70AD47" w:themeColor="accent6"/>
        </w:rPr>
        <w:t xml:space="preserve"> est un baron et que la tuile de destination contient </w:t>
      </w:r>
      <w:r w:rsidR="00A45667" w:rsidRPr="00DB6758">
        <w:rPr>
          <w:color w:val="70AD47" w:themeColor="accent6"/>
        </w:rPr>
        <w:t xml:space="preserve">aussi </w:t>
      </w:r>
      <w:r w:rsidRPr="00DB6758">
        <w:rPr>
          <w:color w:val="70AD47" w:themeColor="accent6"/>
        </w:rPr>
        <w:t>un baron, alors les deux barons sont échangés. Cet effet, qui s’appelle « </w:t>
      </w:r>
      <w:r w:rsidRPr="00DB6758">
        <w:rPr>
          <w:b/>
          <w:bCs/>
          <w:color w:val="70AD47" w:themeColor="accent6"/>
        </w:rPr>
        <w:t>faire une chevauchée</w:t>
      </w:r>
      <w:r w:rsidR="00A45667" w:rsidRPr="00DB6758">
        <w:rPr>
          <w:b/>
          <w:bCs/>
          <w:color w:val="70AD47" w:themeColor="accent6"/>
        </w:rPr>
        <w:t xml:space="preserve"> éclair</w:t>
      </w:r>
      <w:r w:rsidRPr="00DB6758">
        <w:rPr>
          <w:color w:val="70AD47" w:themeColor="accent6"/>
        </w:rPr>
        <w:t> »</w:t>
      </w:r>
      <w:r w:rsidR="00A45667" w:rsidRPr="00DB6758">
        <w:rPr>
          <w:color w:val="70AD47" w:themeColor="accent6"/>
        </w:rPr>
        <w:t>,</w:t>
      </w:r>
      <w:r w:rsidRPr="00DB6758">
        <w:rPr>
          <w:color w:val="70AD47" w:themeColor="accent6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</w:p>
    <w:p w14:paraId="589547E9" w14:textId="4ACA3ABC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91868">
        <w:t>les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52CA38FC" w14:textId="3889596A" w:rsidR="00203DAD" w:rsidRDefault="00203DAD" w:rsidP="00203DAD">
      <w:pPr>
        <w:pStyle w:val="Titre2"/>
        <w:jc w:val="both"/>
      </w:pPr>
      <w:r>
        <w:t>Troupes : déplacement et blocage</w:t>
      </w:r>
      <w:r w:rsidR="007034BC" w:rsidRPr="007034BC">
        <w:t xml:space="preserve"> </w:t>
      </w:r>
      <w:r w:rsidR="007034BC">
        <w:t>des ordres</w:t>
      </w:r>
      <w:r w:rsidR="007034BC" w:rsidRPr="007034BC">
        <w:t xml:space="preserve"> </w:t>
      </w:r>
      <w:r w:rsidR="007034BC">
        <w:t>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203DAD">
        <w:rPr>
          <w:color w:val="0070C0"/>
        </w:rPr>
        <w:t xml:space="preserve">dispersion </w:t>
      </w:r>
      <w:r>
        <w:t xml:space="preserve">et </w:t>
      </w:r>
      <w:r w:rsidRPr="00203DAD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BC41FF">
        <w:rPr>
          <w:color w:val="0070C0"/>
        </w:rPr>
        <w:t>recrutement</w:t>
      </w:r>
      <w:r w:rsidR="00BC41FF">
        <w:t xml:space="preserve">, </w:t>
      </w:r>
      <w:r w:rsidR="00BC41FF" w:rsidRPr="00BC41FF">
        <w:rPr>
          <w:color w:val="0070C0"/>
        </w:rPr>
        <w:t xml:space="preserve">construction </w:t>
      </w:r>
      <w:r w:rsidR="00BC41FF">
        <w:t xml:space="preserve">et </w:t>
      </w:r>
      <w:r w:rsidR="00BC41FF" w:rsidRPr="00BC41FF">
        <w:rPr>
          <w:color w:val="0070C0"/>
        </w:rPr>
        <w:t>déconstruction</w:t>
      </w:r>
      <w:r w:rsidR="00BC41FF">
        <w:t>).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lastRenderedPageBreak/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>second 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 xml:space="preserve">qui fait une seconde « mêlée » avec 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>chevalier 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 « mêlée » ; amener 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>chevalier 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6E5ECDB6" w14:textId="1F9E5D83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impossible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6C665B" w:rsidRPr="00451CEA">
        <w:rPr>
          <w:i/>
          <w:iCs/>
          <w:color w:val="70AD47" w:themeColor="accent6"/>
        </w:rPr>
        <w:t xml:space="preserve"> transmission de l’ordre doit être maintenu</w:t>
      </w:r>
      <w:r w:rsidR="007C1ACE">
        <w:rPr>
          <w:i/>
          <w:iCs/>
          <w:color w:val="70AD47" w:themeColor="accent6"/>
        </w:rPr>
        <w:t>e</w:t>
      </w:r>
      <w:r w:rsidR="006C665B" w:rsidRPr="00451CEA">
        <w:rPr>
          <w:i/>
          <w:iCs/>
          <w:color w:val="70AD47" w:themeColor="accent6"/>
        </w:rPr>
        <w:t xml:space="preserve"> pendant la </w:t>
      </w:r>
      <w:r w:rsidR="006C665B">
        <w:rPr>
          <w:i/>
          <w:iCs/>
          <w:color w:val="70AD47" w:themeColor="accent6"/>
        </w:rPr>
        <w:t>concentration</w:t>
      </w:r>
      <w:r w:rsidR="006C665B" w:rsidRPr="00451CEA">
        <w:rPr>
          <w:i/>
          <w:iCs/>
          <w:color w:val="70AD47" w:themeColor="accent6"/>
        </w:rPr>
        <w:t>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DA1E93" w:rsidRPr="00451CEA">
        <w:rPr>
          <w:i/>
          <w:iCs/>
          <w:color w:val="70AD47" w:themeColor="accent6"/>
        </w:rPr>
        <w:t xml:space="preserve">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</w:t>
      </w:r>
      <w:r w:rsidR="007C1ACE">
        <w:rPr>
          <w:i/>
          <w:iCs/>
          <w:color w:val="70AD47" w:themeColor="accent6"/>
        </w:rPr>
        <w:t>e</w:t>
      </w:r>
      <w:r w:rsidR="00451CEA" w:rsidRPr="00451CEA">
        <w:rPr>
          <w:i/>
          <w:iCs/>
          <w:color w:val="70AD47" w:themeColor="accent6"/>
        </w:rPr>
        <w:t xml:space="preserve">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00412DE2" w14:textId="69AF7447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</w:t>
      </w:r>
      <w:r>
        <w:t>la</w:t>
      </w:r>
      <w:r>
        <w:t xml:space="preserve"> </w:t>
      </w:r>
      <w:r>
        <w:t>construction</w:t>
      </w:r>
      <w:r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</w:t>
      </w:r>
      <w:r>
        <w:t>dé</w:t>
      </w:r>
      <w:r>
        <w:t>construction.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7B04D52B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5B995FA3" w:rsidR="00A31085" w:rsidRDefault="00A31085" w:rsidP="00D20607">
      <w:pPr>
        <w:pStyle w:val="Titre2"/>
        <w:jc w:val="both"/>
      </w:pPr>
      <w:r>
        <w:t>Remarques</w:t>
      </w:r>
      <w:r w:rsidR="00203DAD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5657BBD3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7681383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2A040003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0ECB5837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10774B" w14:textId="77777777" w:rsidR="003634E7" w:rsidRDefault="003634E7" w:rsidP="00341DCC">
      <w:pPr>
        <w:spacing w:after="0" w:line="240" w:lineRule="auto"/>
      </w:pPr>
      <w:r>
        <w:separator/>
      </w:r>
    </w:p>
  </w:endnote>
  <w:endnote w:type="continuationSeparator" w:id="0">
    <w:p w14:paraId="5798356E" w14:textId="77777777" w:rsidR="003634E7" w:rsidRDefault="003634E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5AD8E8" w14:textId="77777777" w:rsidR="003634E7" w:rsidRDefault="003634E7" w:rsidP="00341DCC">
      <w:pPr>
        <w:spacing w:after="0" w:line="240" w:lineRule="auto"/>
      </w:pPr>
      <w:r>
        <w:separator/>
      </w:r>
    </w:p>
  </w:footnote>
  <w:footnote w:type="continuationSeparator" w:id="0">
    <w:p w14:paraId="703C1059" w14:textId="77777777" w:rsidR="003634E7" w:rsidRDefault="003634E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59FE2901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Terra Baronum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3C5072">
      <w:rPr>
        <w:noProof/>
        <w:sz w:val="16"/>
        <w:szCs w:val="16"/>
      </w:rPr>
      <w:t>2025-0928-2249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B70AB"/>
    <w:rsid w:val="002C107D"/>
    <w:rsid w:val="002C1832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4BC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BF5"/>
    <w:rsid w:val="007C1ACE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7</Pages>
  <Words>2764</Words>
  <Characters>13410</Characters>
  <Application>Microsoft Office Word</Application>
  <DocSecurity>0</DocSecurity>
  <Lines>515</Lines>
  <Paragraphs>323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253</cp:revision>
  <cp:lastPrinted>2025-09-28T20:49:00Z</cp:lastPrinted>
  <dcterms:created xsi:type="dcterms:W3CDTF">2024-06-25T21:24:00Z</dcterms:created>
  <dcterms:modified xsi:type="dcterms:W3CDTF">2025-09-28T20:50:00Z</dcterms:modified>
</cp:coreProperties>
</file>